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30E" w:rsidRDefault="00F2730E">
      <w:pPr>
        <w:pStyle w:val="ConsPlusTitlePage"/>
      </w:pPr>
      <w:r>
        <w:t xml:space="preserve">Документ предоставлен </w:t>
      </w:r>
      <w:hyperlink r:id="rId4">
        <w:r>
          <w:rPr>
            <w:color w:val="0000FF"/>
          </w:rPr>
          <w:t>КонсультантПлюс</w:t>
        </w:r>
      </w:hyperlink>
      <w:r>
        <w:br/>
      </w:r>
    </w:p>
    <w:p w:rsidR="00F2730E" w:rsidRDefault="00F2730E">
      <w:pPr>
        <w:pStyle w:val="ConsPlusNormal"/>
        <w:jc w:val="both"/>
        <w:outlineLvl w:val="0"/>
      </w:pPr>
    </w:p>
    <w:p w:rsidR="00F2730E" w:rsidRDefault="00F2730E">
      <w:pPr>
        <w:pStyle w:val="ConsPlusNormal"/>
      </w:pPr>
      <w:r>
        <w:t>Зарегистрировано в Минюсте России 21 октября 2022 г. N 70651</w:t>
      </w:r>
    </w:p>
    <w:p w:rsidR="00F2730E" w:rsidRDefault="00F2730E">
      <w:pPr>
        <w:pStyle w:val="ConsPlusNormal"/>
        <w:pBdr>
          <w:bottom w:val="single" w:sz="6" w:space="0" w:color="auto"/>
        </w:pBdr>
        <w:spacing w:before="100" w:after="100"/>
        <w:jc w:val="both"/>
        <w:rPr>
          <w:sz w:val="2"/>
          <w:szCs w:val="2"/>
        </w:rPr>
      </w:pPr>
    </w:p>
    <w:p w:rsidR="00F2730E" w:rsidRDefault="00F2730E">
      <w:pPr>
        <w:pStyle w:val="ConsPlusNormal"/>
        <w:jc w:val="both"/>
      </w:pPr>
    </w:p>
    <w:p w:rsidR="00F2730E" w:rsidRDefault="00F2730E">
      <w:pPr>
        <w:pStyle w:val="ConsPlusTitle"/>
        <w:jc w:val="center"/>
      </w:pPr>
      <w:r>
        <w:t>МИНИСТЕРСТВО ПРИРОДНЫХ РЕСУРСОВ И ЭКОЛОГИИ</w:t>
      </w:r>
    </w:p>
    <w:p w:rsidR="00F2730E" w:rsidRDefault="00F2730E">
      <w:pPr>
        <w:pStyle w:val="ConsPlusTitle"/>
        <w:jc w:val="center"/>
      </w:pPr>
      <w:r>
        <w:t>РОССИЙСКОЙ ФЕДЕРАЦИИ</w:t>
      </w:r>
    </w:p>
    <w:p w:rsidR="00F2730E" w:rsidRDefault="00F2730E">
      <w:pPr>
        <w:pStyle w:val="ConsPlusTitle"/>
        <w:jc w:val="center"/>
      </w:pPr>
    </w:p>
    <w:p w:rsidR="00F2730E" w:rsidRDefault="00F2730E">
      <w:pPr>
        <w:pStyle w:val="ConsPlusTitle"/>
        <w:jc w:val="center"/>
      </w:pPr>
      <w:r>
        <w:t>ПРИКАЗ</w:t>
      </w:r>
    </w:p>
    <w:p w:rsidR="00F2730E" w:rsidRDefault="00F2730E">
      <w:pPr>
        <w:pStyle w:val="ConsPlusTitle"/>
        <w:jc w:val="center"/>
      </w:pPr>
      <w:r>
        <w:t>от 10 августа 2022 г. N 524</w:t>
      </w:r>
    </w:p>
    <w:p w:rsidR="00F2730E" w:rsidRDefault="00F2730E">
      <w:pPr>
        <w:pStyle w:val="ConsPlusTitle"/>
        <w:jc w:val="center"/>
      </w:pPr>
    </w:p>
    <w:p w:rsidR="00F2730E" w:rsidRDefault="00F2730E">
      <w:pPr>
        <w:pStyle w:val="ConsPlusTitle"/>
        <w:jc w:val="center"/>
      </w:pPr>
      <w:r>
        <w:t>ОБ УТВЕРЖДЕНИИ СРОКОВ</w:t>
      </w:r>
    </w:p>
    <w:p w:rsidR="00F2730E" w:rsidRDefault="00F2730E">
      <w:pPr>
        <w:pStyle w:val="ConsPlusTitle"/>
        <w:jc w:val="center"/>
      </w:pPr>
      <w:r>
        <w:t>ПРЕДСТАВЛЕНИЯ ОРГАНАМИ ГОСУДАРСТВЕННОЙ ВЛАСТИ СУБЪЕКТОВ</w:t>
      </w:r>
    </w:p>
    <w:p w:rsidR="00F2730E" w:rsidRDefault="00F2730E">
      <w:pPr>
        <w:pStyle w:val="ConsPlusTitle"/>
        <w:jc w:val="center"/>
      </w:pPr>
      <w:r>
        <w:t>РОССИЙСКОЙ ФЕДЕРАЦИИ ОТЧЕТА О ФАКТИЧЕСКИ ДОСТИГНУТЫХ</w:t>
      </w:r>
    </w:p>
    <w:p w:rsidR="00F2730E" w:rsidRDefault="00F2730E">
      <w:pPr>
        <w:pStyle w:val="ConsPlusTitle"/>
        <w:jc w:val="center"/>
      </w:pPr>
      <w:r>
        <w:t>ИМИ ЗНАЧЕНИЯХ ЦЕЛЕВЫХ ПОКАЗАТЕЛЕЙ ЭФФЕКТИВНОСТИ ДЕЯТЕЛЬНОСТИ</w:t>
      </w:r>
    </w:p>
    <w:p w:rsidR="00F2730E" w:rsidRDefault="00F2730E">
      <w:pPr>
        <w:pStyle w:val="ConsPlusTitle"/>
        <w:jc w:val="center"/>
      </w:pPr>
      <w:r>
        <w:t>ПО ОСУЩЕСТВЛЕНИЮ ПЕРЕДАННЫХ ПОЛНОМОЧИЙ РОССИЙСКОЙ</w:t>
      </w:r>
    </w:p>
    <w:p w:rsidR="00F2730E" w:rsidRDefault="00F2730E">
      <w:pPr>
        <w:pStyle w:val="ConsPlusTitle"/>
        <w:jc w:val="center"/>
      </w:pPr>
      <w:r>
        <w:t>ФЕДЕРАЦИИ В ОБЛАСТИ ОХОТЫ И СОХРАНЕНИЯ ОХОТНИЧЬИХ РЕСУРСОВ,</w:t>
      </w:r>
    </w:p>
    <w:p w:rsidR="00F2730E" w:rsidRDefault="00F2730E">
      <w:pPr>
        <w:pStyle w:val="ConsPlusTitle"/>
        <w:jc w:val="center"/>
      </w:pPr>
      <w:r>
        <w:t>ПРИ ВЫПОЛНЕНИИ КОТОРЫХ ВОЗНИКАЮТ РАСХОДНЫЕ ОБЯЗАТЕЛЬСТВА</w:t>
      </w:r>
    </w:p>
    <w:p w:rsidR="00F2730E" w:rsidRDefault="00F2730E">
      <w:pPr>
        <w:pStyle w:val="ConsPlusTitle"/>
        <w:jc w:val="center"/>
      </w:pPr>
      <w:r>
        <w:t>СУБЪЕКТОВ РОССИЙСКОЙ ФЕДЕРАЦИИ, НА ИСПОЛНЕНИЕ КОТОРЫХ</w:t>
      </w:r>
    </w:p>
    <w:p w:rsidR="00F2730E" w:rsidRDefault="00F2730E">
      <w:pPr>
        <w:pStyle w:val="ConsPlusTitle"/>
        <w:jc w:val="center"/>
      </w:pPr>
      <w:r>
        <w:t>ПРЕДУСМОТРЕНЫ СУБВЕНЦИИ, ФОРМИРУЮЩИЕ ЕДИНУЮ СУБВЕНЦИЮ</w:t>
      </w:r>
    </w:p>
    <w:p w:rsidR="00F2730E" w:rsidRDefault="00F2730E">
      <w:pPr>
        <w:pStyle w:val="ConsPlusTitle"/>
        <w:jc w:val="center"/>
      </w:pPr>
      <w:r>
        <w:t>БЮДЖЕТАМ СУБЪЕКТОВ РОССИЙСКОЙ ФЕДЕРАЦИИ</w:t>
      </w:r>
    </w:p>
    <w:p w:rsidR="00F2730E" w:rsidRDefault="00F2730E">
      <w:pPr>
        <w:pStyle w:val="ConsPlusNormal"/>
        <w:jc w:val="both"/>
      </w:pPr>
    </w:p>
    <w:p w:rsidR="00F2730E" w:rsidRDefault="00F2730E">
      <w:pPr>
        <w:pStyle w:val="ConsPlusNormal"/>
        <w:ind w:firstLine="540"/>
        <w:jc w:val="both"/>
      </w:pPr>
      <w:r>
        <w:t xml:space="preserve">В целях реализации </w:t>
      </w:r>
      <w:hyperlink r:id="rId5">
        <w:r>
          <w:rPr>
            <w:color w:val="0000FF"/>
          </w:rPr>
          <w:t>пункта 11</w:t>
        </w:r>
      </w:hyperlink>
      <w:r>
        <w:t xml:space="preserve"> Правил формирования и предоставления из федерального бюджета единой субвенции бюджетам субъектов Российской Федерации, утвержденных постановлением Правительства Российской Федерации от 27 марта 2013 г. N 275 (Собрание законодательства Российской Федерации, 2013, N 13, ст. 1576; 2021, N 34, ст. 6202), приказываю:</w:t>
      </w:r>
    </w:p>
    <w:p w:rsidR="00F2730E" w:rsidRDefault="00F2730E">
      <w:pPr>
        <w:pStyle w:val="ConsPlusNormal"/>
        <w:spacing w:before="220"/>
        <w:ind w:firstLine="540"/>
        <w:jc w:val="both"/>
      </w:pPr>
      <w:r>
        <w:t>1. Установить, что отчет о фактически достигнутых органами государственной власти субъектов Российской Федерации значениях целевых показателей эффективности деятельности по осуществлению переданных полномочий Российской Федерации в области охоты и сохранения охотничьих ресурсов, при выполнении которых возникают расходные обязательства субъектов Российской Федерации, на исполнение которых предусмотрены субвенции, формирующие единую субвенцию бюджетам субъектов Российской Федерации (далее - значения целевых показателей), за исключением значений целевых показателей "Отношение фактической добычи охотничьих ресурсов к установленным лимитам добычи по отдельным видам охотничьих ресурсов" и "Продуктивность охотничьих угодий в субъекте Российской Федерации", представляется органами государственной власти субъектов Российской Федерации, осуществляющими переданные полномочия Российской Федерации в области охоты и сохранения охотничьих ресурсов, за календарный год, начиная с отчета по итогам работы за 2022 год.</w:t>
      </w:r>
    </w:p>
    <w:p w:rsidR="00F2730E" w:rsidRDefault="00F2730E">
      <w:pPr>
        <w:pStyle w:val="ConsPlusNormal"/>
        <w:spacing w:before="220"/>
        <w:ind w:firstLine="540"/>
        <w:jc w:val="both"/>
      </w:pPr>
      <w:r>
        <w:t>2. Установить, что отчет о фактически достигнутых значениях целевых показателей "Отношение фактической добычи охотничьих ресурсов к установленным лимитам добычи по отдельным видам охотничьих ресурсов" и "Продуктивность охотничьих угодий в субъекте Российской Федерации" представляется органами государственной власти субъектов Российской Федерации, осуществляющими переданные полномочия Российской Федерации в области охоты и сохранения охотничьих ресурсов, за охотничий сезон (с 1 августа года, предшествующего отчетному, по 31 июля отчетного года).</w:t>
      </w:r>
    </w:p>
    <w:p w:rsidR="00F2730E" w:rsidRDefault="00F2730E">
      <w:pPr>
        <w:pStyle w:val="ConsPlusNormal"/>
        <w:spacing w:before="220"/>
        <w:ind w:firstLine="540"/>
        <w:jc w:val="both"/>
      </w:pPr>
      <w:r>
        <w:t xml:space="preserve">3. Установить, что отчет о фактически достигнутых значениях целевых показателей представляется органами государственной власти субъектов Российской Федерации, осуществляющими переданные полномочия Российской Федерации в области охоты и сохранения охотничьих ресурсов, в Министерство природных ресурсов и экологии Российской Федерации, Федеральную службу по надзору в сфере природопользования и Министерство финансов Российской Федерации с сопроводительными письмами ежегодно не позднее 1 февраля года, </w:t>
      </w:r>
      <w:r>
        <w:lastRenderedPageBreak/>
        <w:t>следующего за отчетным периодом.</w:t>
      </w:r>
    </w:p>
    <w:p w:rsidR="00F2730E" w:rsidRDefault="00F2730E">
      <w:pPr>
        <w:pStyle w:val="ConsPlusNormal"/>
        <w:spacing w:before="220"/>
        <w:ind w:firstLine="540"/>
        <w:jc w:val="both"/>
      </w:pPr>
      <w:r>
        <w:t>4. Признать утратившими силу:</w:t>
      </w:r>
    </w:p>
    <w:p w:rsidR="00F2730E" w:rsidRDefault="00F2730E">
      <w:pPr>
        <w:pStyle w:val="ConsPlusNormal"/>
        <w:spacing w:before="220"/>
        <w:ind w:firstLine="540"/>
        <w:jc w:val="both"/>
      </w:pPr>
      <w:hyperlink r:id="rId6">
        <w:r>
          <w:rPr>
            <w:color w:val="0000FF"/>
          </w:rPr>
          <w:t>приказ</w:t>
        </w:r>
      </w:hyperlink>
      <w:r>
        <w:t xml:space="preserve"> Минприроды России от 5 мая 2014 г. N 200 "Об утверждении формы и сроков представления органами государственной власти субъектов Российской Федерации отчета о фактически достигнутых ими значениях целевых показателей эффективности деятельности по осуществлению переданных полномочий Российской Федерации в области охоты и сохранения охотничьих ресурсов, при выполнении которых возникают расходные обязательства субъектов Российской Федерации, на исполнение которых предусмотрены субвенции, формирующие единую субвенцию бюджетам субъектов Российской Федерации" (зарегистрирован Минюстом России 4 июня 2014 г., регистрационный N 32573);</w:t>
      </w:r>
    </w:p>
    <w:p w:rsidR="00F2730E" w:rsidRDefault="00F2730E">
      <w:pPr>
        <w:pStyle w:val="ConsPlusNormal"/>
        <w:spacing w:before="220"/>
        <w:ind w:firstLine="540"/>
        <w:jc w:val="both"/>
      </w:pPr>
      <w:hyperlink r:id="rId7">
        <w:r>
          <w:rPr>
            <w:color w:val="0000FF"/>
          </w:rPr>
          <w:t>приказ</w:t>
        </w:r>
      </w:hyperlink>
      <w:r>
        <w:t xml:space="preserve"> Минприроды России от 6 октября 2016 г. N 515 "О внесении изменений в приказ Министерства природных ресурсов и экологии Российской Федерации от 5 мая 2014 г. N 200 "Об утверждении формы и сроков представления органами государственной власти субъектов Российской Федерации отчета о фактически достигнутых ими значениях целевых показателей эффективности деятельности по осуществлению переданных полномочий Российской Федерации в области охоты и сохранения охотничьих ресурсов, при выполнении которых возникают расходные обязательства субъектов Российской Федерации, на исполнение которых предусмотрены субвенции, формирующие единую субвенцию бюджетам субъектов Российской Федерации" (зарегистрирован Минюстом России 28 октября 2016 г., регистрационный N 44184);</w:t>
      </w:r>
    </w:p>
    <w:p w:rsidR="00F2730E" w:rsidRDefault="00F2730E">
      <w:pPr>
        <w:pStyle w:val="ConsPlusNormal"/>
        <w:spacing w:before="220"/>
        <w:ind w:firstLine="540"/>
        <w:jc w:val="both"/>
      </w:pPr>
      <w:hyperlink r:id="rId8">
        <w:r>
          <w:rPr>
            <w:color w:val="0000FF"/>
          </w:rPr>
          <w:t>пункт 1</w:t>
        </w:r>
      </w:hyperlink>
      <w:r>
        <w:t xml:space="preserve"> изменений, которые вносятся в отдельные нормативные правовые акты Министерства природных ресурсов и экологии Российской Федерации в целях приведения их в соответствие с пунктом 12 Правил формирования и предоставления из федерального бюджета единой субвенции бюджетам субъектов Российской Федерации, утвержденных постановлением Правительства Российской Федерации от 27 марта 2013 г. N 275, утвержденных приказом Минприроды России от 21 января 2021 г. N 33 (зарегистрирован Минюстом России 26 февраля 2021 г., регистрационный N 62622).</w:t>
      </w:r>
    </w:p>
    <w:p w:rsidR="00F2730E" w:rsidRDefault="00F2730E">
      <w:pPr>
        <w:pStyle w:val="ConsPlusNormal"/>
        <w:jc w:val="both"/>
      </w:pPr>
    </w:p>
    <w:p w:rsidR="00F2730E" w:rsidRDefault="00F2730E">
      <w:pPr>
        <w:pStyle w:val="ConsPlusNormal"/>
        <w:jc w:val="right"/>
      </w:pPr>
      <w:r>
        <w:t>Министр природных ресурсов</w:t>
      </w:r>
    </w:p>
    <w:p w:rsidR="00F2730E" w:rsidRDefault="00F2730E">
      <w:pPr>
        <w:pStyle w:val="ConsPlusNormal"/>
        <w:jc w:val="right"/>
      </w:pPr>
      <w:r>
        <w:t>и экологии Российской Федерации</w:t>
      </w:r>
    </w:p>
    <w:p w:rsidR="00F2730E" w:rsidRDefault="00F2730E">
      <w:pPr>
        <w:pStyle w:val="ConsPlusNormal"/>
        <w:jc w:val="right"/>
      </w:pPr>
      <w:r>
        <w:t>А.А.КОЗЛОВ</w:t>
      </w:r>
    </w:p>
    <w:p w:rsidR="00F2730E" w:rsidRDefault="00F2730E">
      <w:pPr>
        <w:pStyle w:val="ConsPlusNormal"/>
        <w:jc w:val="both"/>
      </w:pPr>
    </w:p>
    <w:p w:rsidR="00F2730E" w:rsidRDefault="00F2730E">
      <w:pPr>
        <w:pStyle w:val="ConsPlusNormal"/>
        <w:jc w:val="both"/>
      </w:pPr>
    </w:p>
    <w:p w:rsidR="00F2730E" w:rsidRDefault="00F2730E">
      <w:pPr>
        <w:pStyle w:val="ConsPlusNormal"/>
        <w:pBdr>
          <w:bottom w:val="single" w:sz="6" w:space="0" w:color="auto"/>
        </w:pBdr>
        <w:spacing w:before="100" w:after="100"/>
        <w:jc w:val="both"/>
        <w:rPr>
          <w:sz w:val="2"/>
          <w:szCs w:val="2"/>
        </w:rPr>
      </w:pPr>
    </w:p>
    <w:p w:rsidR="00257351" w:rsidRDefault="00F2730E">
      <w:bookmarkStart w:id="0" w:name="_GoBack"/>
      <w:bookmarkEnd w:id="0"/>
    </w:p>
    <w:sectPr w:rsidR="00257351" w:rsidSect="005859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30E"/>
    <w:rsid w:val="00274E14"/>
    <w:rsid w:val="00424458"/>
    <w:rsid w:val="00F273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503CBE-693F-4016-8998-6CCB2A6FB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730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2730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2730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13C9B1A0A0464A78C03727EA940933877EAD9E6AED28A1B603872A54C5E64FA13D4BCE81EA8F6EB7893CCA107970C52E18DEAB94592BE1D5G8H" TargetMode="External"/><Relationship Id="rId3" Type="http://schemas.openxmlformats.org/officeDocument/2006/relationships/webSettings" Target="webSettings.xml"/><Relationship Id="rId7" Type="http://schemas.openxmlformats.org/officeDocument/2006/relationships/hyperlink" Target="consultantplus://offline/ref=5F13C9B1A0A0464A78C03727EA9409338679A39B63E928A1B603872A54C5E64FB33D13C283EB916FB59C6A9B56D2GF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F13C9B1A0A0464A78C03727EA940933877EAD9E6EE128A1B603872A54C5E64FB33D13C283EB916FB59C6A9B56D2GFH" TargetMode="External"/><Relationship Id="rId5" Type="http://schemas.openxmlformats.org/officeDocument/2006/relationships/hyperlink" Target="consultantplus://offline/ref=5F13C9B1A0A0464A78C03727EA940933807AA19D6AEE28A1B603872A54C5E64FA13D4BCC89E1DB3EF3D7659955327DC53104DEABD8G9H" TargetMode="External"/><Relationship Id="rId10"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875</Words>
  <Characters>4991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Семенычева Надежда Евгеньевна</dc:creator>
  <cp:keywords/>
  <dc:description/>
  <cp:lastModifiedBy>Семенычева Надежда Евгеньевна</cp:lastModifiedBy>
  <cp:revision>1</cp:revision>
  <dcterms:created xsi:type="dcterms:W3CDTF">2023-02-21T07:06:00Z</dcterms:created>
  <dcterms:modified xsi:type="dcterms:W3CDTF">2023-02-21T07:06:00Z</dcterms:modified>
</cp:coreProperties>
</file>